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70673" w14:textId="77777777" w:rsidR="008D35B9" w:rsidRPr="008D35B9" w:rsidRDefault="008D35B9" w:rsidP="008D35B9">
      <w:pPr>
        <w:spacing w:before="220" w:after="8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  <w:r w:rsidRPr="008D35B9">
        <w:rPr>
          <w:rFonts w:ascii="Calibri" w:eastAsia="Calibri" w:hAnsi="Calibri" w:cs="Calibri"/>
          <w:b/>
          <w:bCs/>
          <w:color w:val="003B44"/>
          <w:kern w:val="0"/>
          <w:sz w:val="22"/>
          <w:szCs w:val="22"/>
          <w:lang w:val="en-US"/>
          <w14:ligatures w14:val="none"/>
        </w:rPr>
        <w:t>Will I be reimbursed if I pay during the gap period once the 2027 fund opens?</w:t>
      </w:r>
    </w:p>
    <w:p w14:paraId="5EEF69E7" w14:textId="77777777" w:rsidR="008D35B9" w:rsidRPr="008D35B9" w:rsidRDefault="008D35B9" w:rsidP="008D35B9">
      <w:pPr>
        <w:spacing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  <w:r w:rsidRPr="008D35B9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 xml:space="preserve">No. There is currently no mechanism to reimburse an APC already paid during the gap from the 2027 allocation. </w:t>
      </w:r>
    </w:p>
    <w:p w14:paraId="21BEB3FD" w14:textId="77777777" w:rsidR="008D35B9" w:rsidRPr="008D35B9" w:rsidRDefault="008D35B9" w:rsidP="008D35B9">
      <w:pPr>
        <w:spacing w:before="300" w:line="240" w:lineRule="auto"/>
        <w:outlineLvl w:val="0"/>
        <w:rPr>
          <w:rFonts w:ascii="Times New Roman" w:eastAsia="Times New Roman" w:hAnsi="Times New Roman" w:cs="Times New Roman"/>
          <w:color w:val="2E74B5"/>
          <w:kern w:val="0"/>
          <w:sz w:val="32"/>
          <w:szCs w:val="32"/>
          <w:lang w:val="en-US"/>
          <w14:ligatures w14:val="none"/>
        </w:rPr>
      </w:pPr>
      <w:r w:rsidRPr="008D35B9">
        <w:rPr>
          <w:rFonts w:ascii="Calibri" w:eastAsia="Calibri" w:hAnsi="Calibri" w:cs="Calibri"/>
          <w:b/>
          <w:bCs/>
          <w:color w:val="003B44"/>
          <w:kern w:val="0"/>
          <w:sz w:val="30"/>
          <w:szCs w:val="30"/>
          <w:lang w:val="en-US"/>
          <w14:ligatures w14:val="none"/>
        </w:rPr>
        <w:t>Detailed scenarios</w:t>
      </w:r>
    </w:p>
    <w:p w14:paraId="2C0BA80F" w14:textId="77777777" w:rsidR="008D35B9" w:rsidRPr="008D35B9" w:rsidRDefault="008D35B9" w:rsidP="008D35B9">
      <w:pPr>
        <w:spacing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  <w:r w:rsidRPr="008D35B9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 xml:space="preserve">For reference, the table below sets out exactly how each combination of submission, acceptance, and </w:t>
      </w:r>
      <w:proofErr w:type="spellStart"/>
      <w:r w:rsidRPr="008D35B9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>licence</w:t>
      </w:r>
      <w:proofErr w:type="spellEnd"/>
      <w:r w:rsidRPr="008D35B9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 xml:space="preserve">-signing timing plays out under the current agreement. Most authors only need the general guidance above: if acceptance and </w:t>
      </w:r>
      <w:proofErr w:type="spellStart"/>
      <w:r w:rsidRPr="008D35B9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>licence</w:t>
      </w:r>
      <w:proofErr w:type="spellEnd"/>
      <w:r w:rsidRPr="008D35B9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 xml:space="preserve"> signing fall in the gap period, we're asking authors to pay the APC directly wherever possible.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3"/>
        <w:gridCol w:w="1748"/>
        <w:gridCol w:w="1748"/>
        <w:gridCol w:w="1747"/>
        <w:gridCol w:w="3194"/>
      </w:tblGrid>
      <w:tr w:rsidR="008D35B9" w:rsidRPr="008D35B9" w14:paraId="48EE4D7B" w14:textId="77777777" w:rsidTr="007562A9">
        <w:trPr>
          <w:tblHeader/>
        </w:trPr>
        <w:tc>
          <w:tcPr>
            <w:tcW w:w="900" w:type="dxa"/>
            <w:shd w:val="clear" w:color="auto" w:fill="003B4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3B154C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Scenario</w:t>
            </w:r>
          </w:p>
        </w:tc>
        <w:tc>
          <w:tcPr>
            <w:tcW w:w="1750" w:type="dxa"/>
            <w:shd w:val="clear" w:color="auto" w:fill="003B4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ACFA3F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Submission</w:t>
            </w:r>
          </w:p>
        </w:tc>
        <w:tc>
          <w:tcPr>
            <w:tcW w:w="1750" w:type="dxa"/>
            <w:shd w:val="clear" w:color="auto" w:fill="003B4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092379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Acceptance</w:t>
            </w:r>
          </w:p>
        </w:tc>
        <w:tc>
          <w:tcPr>
            <w:tcW w:w="1750" w:type="dxa"/>
            <w:shd w:val="clear" w:color="auto" w:fill="003B4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A2919B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8D35B9">
              <w:rPr>
                <w:rFonts w:ascii="Calibri" w:eastAsia="Calibri" w:hAnsi="Calibri" w:cs="Calibri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Licence</w:t>
            </w:r>
            <w:proofErr w:type="spellEnd"/>
            <w:r w:rsidRPr="008D35B9">
              <w:rPr>
                <w:rFonts w:ascii="Calibri" w:eastAsia="Calibri" w:hAnsi="Calibri" w:cs="Calibri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 xml:space="preserve"> signed</w:t>
            </w:r>
          </w:p>
        </w:tc>
        <w:tc>
          <w:tcPr>
            <w:tcW w:w="3200" w:type="dxa"/>
            <w:shd w:val="clear" w:color="auto" w:fill="003B4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B8A712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b/>
                <w:bCs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Outcome</w:t>
            </w:r>
          </w:p>
        </w:tc>
      </w:tr>
      <w:tr w:rsidR="008D35B9" w:rsidRPr="008D35B9" w14:paraId="3E63AE49" w14:textId="77777777" w:rsidTr="007562A9">
        <w:tc>
          <w:tcPr>
            <w:tcW w:w="90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1F4FC1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b/>
                <w:bCs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A</w:t>
            </w:r>
          </w:p>
        </w:tc>
        <w:tc>
          <w:tcPr>
            <w:tcW w:w="175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43AAC8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Before Oct 2026</w:t>
            </w:r>
          </w:p>
        </w:tc>
        <w:tc>
          <w:tcPr>
            <w:tcW w:w="175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FB844F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Before Oct 2026</w:t>
            </w:r>
          </w:p>
        </w:tc>
        <w:tc>
          <w:tcPr>
            <w:tcW w:w="175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0FB9BE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Before Oct 2026</w:t>
            </w:r>
          </w:p>
        </w:tc>
        <w:tc>
          <w:tcPr>
            <w:tcW w:w="320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558F36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Fully funded from the 2026 allocation. Publishes without delay.</w:t>
            </w:r>
          </w:p>
        </w:tc>
      </w:tr>
      <w:tr w:rsidR="008D35B9" w:rsidRPr="008D35B9" w14:paraId="3E61B800" w14:textId="77777777" w:rsidTr="007562A9">
        <w:tc>
          <w:tcPr>
            <w:tcW w:w="900" w:type="dxa"/>
            <w:shd w:val="clear" w:color="auto" w:fill="F2F2E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21EBAE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b/>
                <w:bCs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B</w:t>
            </w:r>
          </w:p>
        </w:tc>
        <w:tc>
          <w:tcPr>
            <w:tcW w:w="1750" w:type="dxa"/>
            <w:shd w:val="clear" w:color="auto" w:fill="F2F2E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5B3EC9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Before Oct 2026</w:t>
            </w:r>
          </w:p>
        </w:tc>
        <w:tc>
          <w:tcPr>
            <w:tcW w:w="1750" w:type="dxa"/>
            <w:shd w:val="clear" w:color="auto" w:fill="F2F2E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84974A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Before Oct 2026</w:t>
            </w:r>
          </w:p>
        </w:tc>
        <w:tc>
          <w:tcPr>
            <w:tcW w:w="1750" w:type="dxa"/>
            <w:shd w:val="clear" w:color="auto" w:fill="F2F2E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ACA56F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Oct–Dec 2026</w:t>
            </w:r>
          </w:p>
        </w:tc>
        <w:tc>
          <w:tcPr>
            <w:tcW w:w="3200" w:type="dxa"/>
            <w:shd w:val="clear" w:color="auto" w:fill="F2F2E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536BF6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 xml:space="preserve">Funding </w:t>
            </w:r>
            <w:proofErr w:type="gramStart"/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request is</w:t>
            </w:r>
            <w:proofErr w:type="gramEnd"/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 xml:space="preserve"> cancelled once the 2026 allocation is exhausted. If an overage account exists, funding moves there. If not, the author may be asked to pay the APC.</w:t>
            </w:r>
          </w:p>
        </w:tc>
      </w:tr>
      <w:tr w:rsidR="008D35B9" w:rsidRPr="008D35B9" w14:paraId="3949CEE5" w14:textId="77777777" w:rsidTr="007562A9">
        <w:tc>
          <w:tcPr>
            <w:tcW w:w="90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DCA6C0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b/>
                <w:bCs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C</w:t>
            </w:r>
          </w:p>
        </w:tc>
        <w:tc>
          <w:tcPr>
            <w:tcW w:w="175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F5E9EB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Before Oct 2026</w:t>
            </w:r>
          </w:p>
        </w:tc>
        <w:tc>
          <w:tcPr>
            <w:tcW w:w="175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1BB1DD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Before Oct 2026</w:t>
            </w:r>
          </w:p>
        </w:tc>
        <w:tc>
          <w:tcPr>
            <w:tcW w:w="175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834ECA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In 2027</w:t>
            </w:r>
          </w:p>
        </w:tc>
        <w:tc>
          <w:tcPr>
            <w:tcW w:w="320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727D9C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 xml:space="preserve">Automatically funded from the 2027 allocation once the </w:t>
            </w:r>
            <w:proofErr w:type="spellStart"/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licence</w:t>
            </w:r>
            <w:proofErr w:type="spellEnd"/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 xml:space="preserve"> is signed. No disruption.</w:t>
            </w:r>
          </w:p>
        </w:tc>
      </w:tr>
      <w:tr w:rsidR="008D35B9" w:rsidRPr="008D35B9" w14:paraId="60A88F48" w14:textId="77777777" w:rsidTr="007562A9">
        <w:tc>
          <w:tcPr>
            <w:tcW w:w="900" w:type="dxa"/>
            <w:shd w:val="clear" w:color="auto" w:fill="F2F2E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92FF88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b/>
                <w:bCs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D</w:t>
            </w:r>
          </w:p>
        </w:tc>
        <w:tc>
          <w:tcPr>
            <w:tcW w:w="1750" w:type="dxa"/>
            <w:shd w:val="clear" w:color="auto" w:fill="F2F2E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61E42B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Before Oct 2026</w:t>
            </w:r>
          </w:p>
        </w:tc>
        <w:tc>
          <w:tcPr>
            <w:tcW w:w="1750" w:type="dxa"/>
            <w:shd w:val="clear" w:color="auto" w:fill="F2F2E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7AFE58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Oct–Dec 2026</w:t>
            </w:r>
          </w:p>
        </w:tc>
        <w:tc>
          <w:tcPr>
            <w:tcW w:w="1750" w:type="dxa"/>
            <w:shd w:val="clear" w:color="auto" w:fill="F2F2E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7C3CB4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Oct–Dec 2026</w:t>
            </w:r>
          </w:p>
        </w:tc>
        <w:tc>
          <w:tcPr>
            <w:tcW w:w="3200" w:type="dxa"/>
            <w:shd w:val="clear" w:color="auto" w:fill="F2F2E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318ADA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Same as Scenario B: funding request cancelled; overage account checked; author may be asked to pay.</w:t>
            </w:r>
          </w:p>
        </w:tc>
      </w:tr>
      <w:tr w:rsidR="008D35B9" w:rsidRPr="008D35B9" w14:paraId="1D470100" w14:textId="77777777" w:rsidTr="007562A9">
        <w:tc>
          <w:tcPr>
            <w:tcW w:w="90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8D9EF0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b/>
                <w:bCs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E</w:t>
            </w:r>
          </w:p>
        </w:tc>
        <w:tc>
          <w:tcPr>
            <w:tcW w:w="175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173899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Before Oct 2026</w:t>
            </w:r>
          </w:p>
        </w:tc>
        <w:tc>
          <w:tcPr>
            <w:tcW w:w="175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E3367F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Oct–Dec 2026</w:t>
            </w:r>
          </w:p>
        </w:tc>
        <w:tc>
          <w:tcPr>
            <w:tcW w:w="175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AE9C25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In 2027</w:t>
            </w:r>
          </w:p>
        </w:tc>
        <w:tc>
          <w:tcPr>
            <w:tcW w:w="320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A93AF0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Automatically funded from the 2027 allocation.</w:t>
            </w:r>
          </w:p>
        </w:tc>
      </w:tr>
      <w:tr w:rsidR="008D35B9" w:rsidRPr="008D35B9" w14:paraId="774421DC" w14:textId="77777777" w:rsidTr="007562A9">
        <w:tc>
          <w:tcPr>
            <w:tcW w:w="900" w:type="dxa"/>
            <w:shd w:val="clear" w:color="auto" w:fill="F2F2E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FE217C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b/>
                <w:bCs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F</w:t>
            </w:r>
          </w:p>
        </w:tc>
        <w:tc>
          <w:tcPr>
            <w:tcW w:w="1750" w:type="dxa"/>
            <w:shd w:val="clear" w:color="auto" w:fill="F2F2E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576CA2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Before Oct 2026</w:t>
            </w:r>
          </w:p>
        </w:tc>
        <w:tc>
          <w:tcPr>
            <w:tcW w:w="1750" w:type="dxa"/>
            <w:shd w:val="clear" w:color="auto" w:fill="F2F2E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EF73D7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In 2027</w:t>
            </w:r>
          </w:p>
        </w:tc>
        <w:tc>
          <w:tcPr>
            <w:tcW w:w="1750" w:type="dxa"/>
            <w:shd w:val="clear" w:color="auto" w:fill="F2F2E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3BFC02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In 2027</w:t>
            </w:r>
          </w:p>
        </w:tc>
        <w:tc>
          <w:tcPr>
            <w:tcW w:w="3200" w:type="dxa"/>
            <w:shd w:val="clear" w:color="auto" w:fill="F2F2E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3FD110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Automatically funded from the 2027 allocation. No disruption.</w:t>
            </w:r>
          </w:p>
        </w:tc>
      </w:tr>
      <w:tr w:rsidR="008D35B9" w:rsidRPr="008D35B9" w14:paraId="4E1BAD0D" w14:textId="77777777" w:rsidTr="007562A9">
        <w:tc>
          <w:tcPr>
            <w:tcW w:w="90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D3E6F7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b/>
                <w:bCs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G</w:t>
            </w:r>
          </w:p>
        </w:tc>
        <w:tc>
          <w:tcPr>
            <w:tcW w:w="175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5056E3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After Oct 2026</w:t>
            </w:r>
          </w:p>
        </w:tc>
        <w:tc>
          <w:tcPr>
            <w:tcW w:w="175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223568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In 2026</w:t>
            </w:r>
          </w:p>
        </w:tc>
        <w:tc>
          <w:tcPr>
            <w:tcW w:w="175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67A2B0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In 2027</w:t>
            </w:r>
          </w:p>
        </w:tc>
        <w:tc>
          <w:tcPr>
            <w:tcW w:w="320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D8ED7C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 xml:space="preserve">If an overage account exists, it funds the article temporarily. Once the </w:t>
            </w:r>
            <w:proofErr w:type="spellStart"/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licence</w:t>
            </w:r>
            <w:proofErr w:type="spellEnd"/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 xml:space="preserve"> is signed in 2027, eligibility switches to the SANLiC 2027 allocation (which takes priority over overage accounts). Publishes without delay.</w:t>
            </w:r>
          </w:p>
        </w:tc>
      </w:tr>
      <w:tr w:rsidR="008D35B9" w:rsidRPr="008D35B9" w14:paraId="200F0A07" w14:textId="77777777" w:rsidTr="007562A9">
        <w:tc>
          <w:tcPr>
            <w:tcW w:w="900" w:type="dxa"/>
            <w:shd w:val="clear" w:color="auto" w:fill="F2F2E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CAA0FE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b/>
                <w:bCs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H</w:t>
            </w:r>
          </w:p>
        </w:tc>
        <w:tc>
          <w:tcPr>
            <w:tcW w:w="1750" w:type="dxa"/>
            <w:shd w:val="clear" w:color="auto" w:fill="F2F2E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8EFEDF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After Oct 2026</w:t>
            </w:r>
          </w:p>
        </w:tc>
        <w:tc>
          <w:tcPr>
            <w:tcW w:w="1750" w:type="dxa"/>
            <w:shd w:val="clear" w:color="auto" w:fill="F2F2E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D49F9B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In 2027</w:t>
            </w:r>
          </w:p>
        </w:tc>
        <w:tc>
          <w:tcPr>
            <w:tcW w:w="1750" w:type="dxa"/>
            <w:shd w:val="clear" w:color="auto" w:fill="F2F2E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FBDB0C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In 2027</w:t>
            </w:r>
          </w:p>
        </w:tc>
        <w:tc>
          <w:tcPr>
            <w:tcW w:w="3200" w:type="dxa"/>
            <w:shd w:val="clear" w:color="auto" w:fill="F2F2E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0F17C1" w14:textId="77777777" w:rsidR="008D35B9" w:rsidRPr="008D35B9" w:rsidRDefault="008D35B9" w:rsidP="008D35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D35B9">
              <w:rPr>
                <w:rFonts w:ascii="Calibri" w:eastAsia="Calibri" w:hAnsi="Calibri" w:cs="Calibri"/>
                <w:color w:val="003B44"/>
                <w:kern w:val="0"/>
                <w:sz w:val="19"/>
                <w:szCs w:val="19"/>
                <w:lang w:val="en-US"/>
                <w14:ligatures w14:val="none"/>
              </w:rPr>
              <w:t>Same as Scenario G. Automatically funded from the 2027 allocation.</w:t>
            </w:r>
          </w:p>
        </w:tc>
      </w:tr>
    </w:tbl>
    <w:p w14:paraId="00F37601" w14:textId="77777777" w:rsidR="00A52CF5" w:rsidRDefault="00A52CF5"/>
    <w:sectPr w:rsidR="00A52C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5B9"/>
    <w:rsid w:val="00241B85"/>
    <w:rsid w:val="008D35B9"/>
    <w:rsid w:val="00A52CF5"/>
    <w:rsid w:val="00D04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7079CB"/>
  <w15:chartTrackingRefBased/>
  <w15:docId w15:val="{099B3FCF-E663-452A-9893-DA58A575B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35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35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35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35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35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35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35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35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35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35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35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35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35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35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35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35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35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35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35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35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35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35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35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35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35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35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5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5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35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70E036D79DF3418C364204D354B72E" ma:contentTypeVersion="13" ma:contentTypeDescription="Create a new document." ma:contentTypeScope="" ma:versionID="8db1d3647f5d1dfbaa3275284d44413e">
  <xsd:schema xmlns:xsd="http://www.w3.org/2001/XMLSchema" xmlns:xs="http://www.w3.org/2001/XMLSchema" xmlns:p="http://schemas.microsoft.com/office/2006/metadata/properties" xmlns:ns2="34428523-e8bb-4da6-b178-0a11fb2b4d8c" xmlns:ns3="9fb97fe1-0b4c-42cc-b423-1cebba2d4608" targetNamespace="http://schemas.microsoft.com/office/2006/metadata/properties" ma:root="true" ma:fieldsID="f34cc8a6be321ead7d92bd02b6e1d3d7" ns2:_="" ns3:_="">
    <xsd:import namespace="34428523-e8bb-4da6-b178-0a11fb2b4d8c"/>
    <xsd:import namespace="9fb97fe1-0b4c-42cc-b423-1cebba2d46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428523-e8bb-4da6-b178-0a11fb2b4d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b26997a-33d3-42c0-a958-a54baa906a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b97fe1-0b4c-42cc-b423-1cebba2d460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35e6f0-7259-4517-886d-79a9de33f527}" ma:internalName="TaxCatchAll" ma:showField="CatchAllData" ma:web="9fb97fe1-0b4c-42cc-b423-1cebba2d46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428523-e8bb-4da6-b178-0a11fb2b4d8c">
      <Terms xmlns="http://schemas.microsoft.com/office/infopath/2007/PartnerControls"/>
    </lcf76f155ced4ddcb4097134ff3c332f>
    <TaxCatchAll xmlns="9fb97fe1-0b4c-42cc-b423-1cebba2d4608" xsi:nil="true"/>
  </documentManagement>
</p:properties>
</file>

<file path=customXml/itemProps1.xml><?xml version="1.0" encoding="utf-8"?>
<ds:datastoreItem xmlns:ds="http://schemas.openxmlformats.org/officeDocument/2006/customXml" ds:itemID="{99ACF628-512A-4326-A135-270CDBDBAD4F}"/>
</file>

<file path=customXml/itemProps2.xml><?xml version="1.0" encoding="utf-8"?>
<ds:datastoreItem xmlns:ds="http://schemas.openxmlformats.org/officeDocument/2006/customXml" ds:itemID="{A9F72098-F2A8-46BF-A4BD-17A6AB88D542}"/>
</file>

<file path=customXml/itemProps3.xml><?xml version="1.0" encoding="utf-8"?>
<ds:datastoreItem xmlns:ds="http://schemas.openxmlformats.org/officeDocument/2006/customXml" ds:itemID="{DD592892-7719-4635-88A3-A2BCA26D13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Zine Sapula</dc:creator>
  <cp:keywords/>
  <dc:description/>
  <cp:lastModifiedBy>Zine Sapula</cp:lastModifiedBy>
  <cp:revision>1</cp:revision>
  <dcterms:created xsi:type="dcterms:W3CDTF">2026-09-21T08:26:00Z</dcterms:created>
  <dcterms:modified xsi:type="dcterms:W3CDTF">2026-09-21T08:27:00Z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0x0101001470E036D79DF3418C364204D354B72E</vt:lpwstr>
  </property>
</Properties>
</file>